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137" w:rsidRPr="006C08C5" w:rsidRDefault="00094C6C" w:rsidP="007E5137">
      <w:pPr>
        <w:rPr>
          <w:b/>
          <w:u w:val="single"/>
        </w:rPr>
      </w:pPr>
      <w:r w:rsidRPr="006C08C5">
        <w:rPr>
          <w:b/>
          <w:u w:val="single"/>
        </w:rPr>
        <w:t>HIV en PEP bij Forensisch Medisch Onderzoek zedenslachtoffers</w:t>
      </w:r>
    </w:p>
    <w:p w:rsidR="008A053C" w:rsidRDefault="008A053C" w:rsidP="007E5137"/>
    <w:tbl>
      <w:tblPr>
        <w:tblStyle w:val="Tabelraster"/>
        <w:tblW w:w="0" w:type="auto"/>
        <w:tblLook w:val="04A0" w:firstRow="1" w:lastRow="0" w:firstColumn="1" w:lastColumn="0" w:noHBand="0" w:noVBand="1"/>
      </w:tblPr>
      <w:tblGrid>
        <w:gridCol w:w="3681"/>
        <w:gridCol w:w="5335"/>
      </w:tblGrid>
      <w:tr w:rsidR="008A053C" w:rsidTr="006C08C5">
        <w:tc>
          <w:tcPr>
            <w:tcW w:w="3681" w:type="dxa"/>
          </w:tcPr>
          <w:p w:rsidR="008A053C" w:rsidRDefault="008A053C" w:rsidP="007E5137">
            <w:r>
              <w:t>16:30-17:00</w:t>
            </w:r>
          </w:p>
        </w:tc>
        <w:tc>
          <w:tcPr>
            <w:tcW w:w="5335" w:type="dxa"/>
          </w:tcPr>
          <w:p w:rsidR="008A053C" w:rsidRDefault="008A053C" w:rsidP="007E5137">
            <w:r>
              <w:t>Inbellen</w:t>
            </w:r>
          </w:p>
        </w:tc>
      </w:tr>
      <w:tr w:rsidR="008A053C" w:rsidTr="006C08C5">
        <w:tc>
          <w:tcPr>
            <w:tcW w:w="3681" w:type="dxa"/>
          </w:tcPr>
          <w:p w:rsidR="008A053C" w:rsidRDefault="008A053C" w:rsidP="007E5137">
            <w:r>
              <w:t>17:00-17:55</w:t>
            </w:r>
          </w:p>
        </w:tc>
        <w:tc>
          <w:tcPr>
            <w:tcW w:w="5335" w:type="dxa"/>
          </w:tcPr>
          <w:p w:rsidR="008A053C" w:rsidRDefault="00094C6C" w:rsidP="007E5137">
            <w:r>
              <w:t>HIV en PEP</w:t>
            </w:r>
          </w:p>
        </w:tc>
      </w:tr>
      <w:tr w:rsidR="008A053C" w:rsidTr="006C08C5">
        <w:tc>
          <w:tcPr>
            <w:tcW w:w="3681" w:type="dxa"/>
          </w:tcPr>
          <w:p w:rsidR="008A053C" w:rsidRDefault="008A053C" w:rsidP="007E5137">
            <w:r>
              <w:t>17:55 – 18:00</w:t>
            </w:r>
          </w:p>
        </w:tc>
        <w:tc>
          <w:tcPr>
            <w:tcW w:w="5335" w:type="dxa"/>
          </w:tcPr>
          <w:p w:rsidR="008A053C" w:rsidRDefault="008A053C" w:rsidP="007E5137">
            <w:r>
              <w:t>pauze</w:t>
            </w:r>
          </w:p>
        </w:tc>
      </w:tr>
      <w:tr w:rsidR="008A053C" w:rsidTr="006C08C5">
        <w:tc>
          <w:tcPr>
            <w:tcW w:w="3681" w:type="dxa"/>
          </w:tcPr>
          <w:p w:rsidR="008A053C" w:rsidRDefault="008A053C" w:rsidP="007E5137">
            <w:r>
              <w:t>18:00 – 18:55</w:t>
            </w:r>
          </w:p>
        </w:tc>
        <w:tc>
          <w:tcPr>
            <w:tcW w:w="5335" w:type="dxa"/>
          </w:tcPr>
          <w:p w:rsidR="008A053C" w:rsidRDefault="00094C6C" w:rsidP="007E5137">
            <w:r>
              <w:t>Wat te bespreken bij pep-consult</w:t>
            </w:r>
          </w:p>
        </w:tc>
      </w:tr>
      <w:tr w:rsidR="008A053C" w:rsidTr="006C08C5">
        <w:tc>
          <w:tcPr>
            <w:tcW w:w="3681" w:type="dxa"/>
          </w:tcPr>
          <w:p w:rsidR="008A053C" w:rsidRDefault="008A053C" w:rsidP="007E5137">
            <w:r>
              <w:t>18:55 – 19:00</w:t>
            </w:r>
          </w:p>
        </w:tc>
        <w:tc>
          <w:tcPr>
            <w:tcW w:w="5335" w:type="dxa"/>
          </w:tcPr>
          <w:p w:rsidR="008A053C" w:rsidRDefault="008A053C" w:rsidP="007E5137">
            <w:r>
              <w:t>pauze</w:t>
            </w:r>
          </w:p>
        </w:tc>
      </w:tr>
      <w:tr w:rsidR="008A053C" w:rsidTr="006C08C5">
        <w:tc>
          <w:tcPr>
            <w:tcW w:w="3681" w:type="dxa"/>
          </w:tcPr>
          <w:p w:rsidR="008A053C" w:rsidRDefault="008A053C" w:rsidP="007E5137">
            <w:r>
              <w:t>19:00 – 19:55</w:t>
            </w:r>
          </w:p>
        </w:tc>
        <w:tc>
          <w:tcPr>
            <w:tcW w:w="5335" w:type="dxa"/>
          </w:tcPr>
          <w:p w:rsidR="008A053C" w:rsidRDefault="00094C6C" w:rsidP="007E5137">
            <w:r>
              <w:t>Casuïstiek voorschrijven PEP bij zedenslachtoffers</w:t>
            </w:r>
            <w:r w:rsidR="008A053C">
              <w:t xml:space="preserve"> </w:t>
            </w:r>
          </w:p>
        </w:tc>
      </w:tr>
      <w:tr w:rsidR="008A053C" w:rsidTr="006C08C5">
        <w:tc>
          <w:tcPr>
            <w:tcW w:w="3681" w:type="dxa"/>
          </w:tcPr>
          <w:p w:rsidR="008A053C" w:rsidRDefault="008A053C" w:rsidP="007E5137">
            <w:r>
              <w:t>19:55 – 20:00</w:t>
            </w:r>
          </w:p>
        </w:tc>
        <w:tc>
          <w:tcPr>
            <w:tcW w:w="5335" w:type="dxa"/>
          </w:tcPr>
          <w:p w:rsidR="008A053C" w:rsidRDefault="00A5300C" w:rsidP="007E5137">
            <w:r>
              <w:t>Discussie en afsluiting</w:t>
            </w:r>
          </w:p>
        </w:tc>
      </w:tr>
    </w:tbl>
    <w:p w:rsidR="008A053C" w:rsidRDefault="008A053C" w:rsidP="007E5137"/>
    <w:p w:rsidR="008A053C" w:rsidRDefault="008A053C" w:rsidP="007E5137"/>
    <w:p w:rsidR="00094C6C" w:rsidRDefault="00094C6C" w:rsidP="007E5137">
      <w:pPr>
        <w:rPr>
          <w:rFonts w:eastAsia="Times New Roman"/>
        </w:rPr>
      </w:pPr>
      <w:r>
        <w:rPr>
          <w:rFonts w:eastAsia="Times New Roman"/>
        </w:rPr>
        <w:t>De forensisch arts is (samen met de casemanager (</w:t>
      </w:r>
      <w:proofErr w:type="spellStart"/>
      <w:r>
        <w:rPr>
          <w:rFonts w:eastAsia="Times New Roman"/>
        </w:rPr>
        <w:t>for</w:t>
      </w:r>
      <w:proofErr w:type="spellEnd"/>
      <w:r>
        <w:rPr>
          <w:rFonts w:eastAsia="Times New Roman"/>
        </w:rPr>
        <w:t xml:space="preserve"> VPK) verantwoordelijk voor de acute zorg na een zedendelict als er een FMO plaatsvindt. Het doel van het CSG is ook versplintering van zorg voorkomen en op 1 moment alle verschillende disciplines in huis. Ook gezien de coronacrisis en de drukte bij de artsen infectieziekten, is het logisch om derhalve naast het voorschrijven van PEP ook de indicatiestelling bij de voorschrijver te beleggen.</w:t>
      </w:r>
    </w:p>
    <w:p w:rsidR="00094C6C" w:rsidRDefault="00094C6C" w:rsidP="007E5137">
      <w:pPr>
        <w:rPr>
          <w:rFonts w:eastAsia="Times New Roman"/>
        </w:rPr>
      </w:pPr>
      <w:r>
        <w:rPr>
          <w:rFonts w:eastAsia="Times New Roman"/>
        </w:rPr>
        <w:t>De forensisch arts moet zich bekwaam voelen om PEP voor te schrijven. Met deze  nascholing gaan we in op het ziektebeeld HIV waarbij met name kennis van de incidentie en prevalentie van onze doelgroep essentieel is. Een ander belangrijk onderwerp is kennis over de gebruikte middelen die onder PEP vallen. Bij de indicatiestelling en voorschrijven, is het belangrijk te weten wat mogelijke bijwerkingen kunnen zijn, wat het effect is van non-compliance, drugsgebruik en contra-indicaties en zwangerschap. Enige handvatten om met het slachtoffer in gesprek te gaan en veelvoorkomende vragen te beantwoorden worden behandeld in het 2</w:t>
      </w:r>
      <w:r w:rsidRPr="00094C6C">
        <w:rPr>
          <w:rFonts w:eastAsia="Times New Roman"/>
          <w:vertAlign w:val="superscript"/>
        </w:rPr>
        <w:t>e</w:t>
      </w:r>
      <w:r>
        <w:rPr>
          <w:rFonts w:eastAsia="Times New Roman"/>
        </w:rPr>
        <w:t xml:space="preserve"> uur van deze scholing. </w:t>
      </w:r>
    </w:p>
    <w:p w:rsidR="006C08C5" w:rsidRDefault="006C08C5" w:rsidP="007E5137">
      <w:pPr>
        <w:rPr>
          <w:rFonts w:eastAsia="Times New Roman"/>
        </w:rPr>
      </w:pPr>
      <w:r>
        <w:rPr>
          <w:rFonts w:eastAsia="Times New Roman"/>
        </w:rPr>
        <w:t>Als laatste bespreken we met een arts van de SOA-poli en infectieziekten een aantal casussen  van 2020 waarbij ons niet duidelijk was waarom er juist wel of juist niet PEP geïndiceerd werd waarbij ingegaan wordt op de laatste wetenschappelijke literatuur en epidemiologie van voor komen van HIV bij mogelijke verschillende soorten verdachten. Discussie leidt hopelijk op een meer eenduidig advies voorschrijven PEP.</w:t>
      </w:r>
    </w:p>
    <w:p w:rsidR="006C08C5" w:rsidRDefault="006C08C5" w:rsidP="007E5137">
      <w:pPr>
        <w:rPr>
          <w:rFonts w:eastAsia="Times New Roman"/>
        </w:rPr>
      </w:pPr>
    </w:p>
    <w:p w:rsidR="006C08C5" w:rsidRDefault="006C08C5" w:rsidP="007E5137">
      <w:pPr>
        <w:rPr>
          <w:rFonts w:eastAsia="Times New Roman"/>
        </w:rPr>
      </w:pPr>
      <w:r>
        <w:rPr>
          <w:rFonts w:eastAsia="Times New Roman"/>
        </w:rPr>
        <w:t>Sprekers:</w:t>
      </w:r>
    </w:p>
    <w:p w:rsidR="006C08C5" w:rsidRDefault="00A7553D" w:rsidP="007E5137">
      <w:pPr>
        <w:rPr>
          <w:rFonts w:eastAsia="Times New Roman"/>
        </w:rPr>
      </w:pPr>
      <w:r>
        <w:rPr>
          <w:rFonts w:eastAsia="Times New Roman"/>
        </w:rPr>
        <w:t xml:space="preserve">Dominique Verhagen internist of M. </w:t>
      </w:r>
      <w:proofErr w:type="spellStart"/>
      <w:r>
        <w:rPr>
          <w:rFonts w:eastAsia="Times New Roman"/>
        </w:rPr>
        <w:t>Schimm</w:t>
      </w:r>
      <w:proofErr w:type="spellEnd"/>
      <w:r>
        <w:rPr>
          <w:rFonts w:eastAsia="Times New Roman"/>
        </w:rPr>
        <w:t xml:space="preserve"> bijzonder hoogleraar epidemiologie van </w:t>
      </w:r>
      <w:proofErr w:type="spellStart"/>
      <w:r>
        <w:rPr>
          <w:rFonts w:eastAsia="Times New Roman"/>
        </w:rPr>
        <w:t>SOA’s</w:t>
      </w:r>
      <w:proofErr w:type="spellEnd"/>
    </w:p>
    <w:p w:rsidR="00A7553D" w:rsidRDefault="00A7553D" w:rsidP="007E5137">
      <w:pPr>
        <w:rPr>
          <w:rFonts w:eastAsia="Times New Roman"/>
        </w:rPr>
      </w:pPr>
      <w:r>
        <w:rPr>
          <w:rFonts w:eastAsia="Times New Roman"/>
        </w:rPr>
        <w:t>Maartje Goudswaard forensisch arts /</w:t>
      </w:r>
      <w:bookmarkStart w:id="0" w:name="_GoBack"/>
      <w:bookmarkEnd w:id="0"/>
      <w:r>
        <w:rPr>
          <w:rFonts w:eastAsia="Times New Roman"/>
        </w:rPr>
        <w:t xml:space="preserve"> tropenarts (veel ervaring en kennis van voorschrijven PEP)</w:t>
      </w:r>
    </w:p>
    <w:p w:rsidR="00A7553D" w:rsidRPr="008A053C" w:rsidRDefault="00A7553D" w:rsidP="007E5137">
      <w:pPr>
        <w:rPr>
          <w:rFonts w:eastAsia="Times New Roman"/>
        </w:rPr>
      </w:pPr>
      <w:proofErr w:type="spellStart"/>
      <w:r>
        <w:rPr>
          <w:rFonts w:eastAsia="Times New Roman"/>
        </w:rPr>
        <w:t>Clarissa</w:t>
      </w:r>
      <w:proofErr w:type="spellEnd"/>
      <w:r>
        <w:rPr>
          <w:rFonts w:eastAsia="Times New Roman"/>
        </w:rPr>
        <w:t xml:space="preserve"> </w:t>
      </w:r>
      <w:proofErr w:type="spellStart"/>
      <w:r>
        <w:rPr>
          <w:rFonts w:eastAsia="Times New Roman"/>
        </w:rPr>
        <w:t>Vergunst</w:t>
      </w:r>
      <w:proofErr w:type="spellEnd"/>
      <w:r>
        <w:rPr>
          <w:rFonts w:eastAsia="Times New Roman"/>
        </w:rPr>
        <w:t>, arts SOA poli / dermatoloog</w:t>
      </w:r>
    </w:p>
    <w:sectPr w:rsidR="00A7553D" w:rsidRPr="008A0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3C"/>
    <w:rsid w:val="00094C6C"/>
    <w:rsid w:val="00234C31"/>
    <w:rsid w:val="00251E64"/>
    <w:rsid w:val="00566C8D"/>
    <w:rsid w:val="006C08C5"/>
    <w:rsid w:val="007047E3"/>
    <w:rsid w:val="007E5137"/>
    <w:rsid w:val="008A053C"/>
    <w:rsid w:val="00A5300C"/>
    <w:rsid w:val="00A7553D"/>
    <w:rsid w:val="00A80D1E"/>
    <w:rsid w:val="00D24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4268"/>
  <w15:docId w15:val="{1CDFFC8C-3ACE-47FA-93FC-5EE2DB30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table" w:styleId="Tabelraster">
    <w:name w:val="Table Grid"/>
    <w:basedOn w:val="Standaardtabel"/>
    <w:uiPriority w:val="59"/>
    <w:rsid w:val="008A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4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Hondel, Karen van den</dc:creator>
  <cp:lastModifiedBy>Hondel, Karen van den</cp:lastModifiedBy>
  <cp:revision>3</cp:revision>
  <dcterms:created xsi:type="dcterms:W3CDTF">2021-01-09T07:54:00Z</dcterms:created>
  <dcterms:modified xsi:type="dcterms:W3CDTF">2021-01-09T07:56:00Z</dcterms:modified>
</cp:coreProperties>
</file>